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D" w:rsidRPr="00500843" w:rsidRDefault="0023451E" w:rsidP="00500843">
      <w:pPr>
        <w:jc w:val="center"/>
        <w:rPr>
          <w:rFonts w:ascii="Helvetica Narrow" w:hAnsi="Helvetica Narrow"/>
          <w:b/>
          <w:color w:val="222A35" w:themeColor="text2" w:themeShade="80"/>
          <w:kern w:val="28"/>
          <w:sz w:val="36"/>
          <w:szCs w:val="36"/>
        </w:rPr>
      </w:pPr>
      <w:r w:rsidRPr="00500843">
        <w:rPr>
          <w:rFonts w:ascii="Helvetica Narrow" w:hAnsi="Helvetica Narrow"/>
          <w:b/>
          <w:color w:val="222A35" w:themeColor="text2" w:themeShade="80"/>
          <w:kern w:val="28"/>
          <w:sz w:val="36"/>
          <w:szCs w:val="36"/>
        </w:rPr>
        <w:t>DFSS Foundations</w:t>
      </w:r>
    </w:p>
    <w:p w:rsidR="005C783D" w:rsidRPr="00500843" w:rsidRDefault="005C783D" w:rsidP="005C783D">
      <w:pPr>
        <w:rPr>
          <w:rFonts w:ascii="Helvetica Narrow" w:hAnsi="Helvetica Narrow"/>
          <w:color w:val="222A35" w:themeColor="text2" w:themeShade="80"/>
        </w:rPr>
      </w:pPr>
    </w:p>
    <w:p w:rsidR="005C783D" w:rsidRPr="00500843" w:rsidRDefault="005C783D" w:rsidP="005C783D">
      <w:pPr>
        <w:rPr>
          <w:color w:val="222A35" w:themeColor="text2" w:themeShade="80"/>
        </w:rPr>
      </w:pPr>
    </w:p>
    <w:p w:rsidR="0023451E" w:rsidRPr="00500843" w:rsidRDefault="0023451E" w:rsidP="0023451E">
      <w:pPr>
        <w:jc w:val="both"/>
        <w:rPr>
          <w:rFonts w:ascii="Times New Roman" w:hAnsi="Times New Roman" w:cs="Times New Roman"/>
          <w:color w:val="222A35" w:themeColor="text2" w:themeShade="80"/>
          <w:sz w:val="24"/>
          <w:szCs w:val="20"/>
        </w:rPr>
      </w:pPr>
      <w:r w:rsidRPr="00500843">
        <w:rPr>
          <w:rFonts w:ascii="Times New Roman" w:hAnsi="Times New Roman" w:cs="Times New Roman"/>
          <w:color w:val="222A35" w:themeColor="text2" w:themeShade="80"/>
          <w:sz w:val="24"/>
          <w:szCs w:val="20"/>
        </w:rPr>
        <w:t>This 1-week hands-on workshop is specifically tailored to provide the background knowledge and pre-requisite skills necessary for successfully completing DFSS Green Belt or Black Belt training.  It teaches participants the foundations of Six Sigma, Design of Experiments (DOE), Measurement System Analysis (MSA), probability, and basic statistical analysis along with an introduction to statistical software.  It prepares participants for continued study in the Design for Six Sigma methodology, which is aimed at getting better products and services to market faster and at a lower cost.  The course is taught with a “Keep It Simple Statistically” (KISS) approach that makes use of many in-class examples and exercises.  Participants have ample opportunity to practice what is taught to ensure they have a practical, working knowledge of MSA, probability and data distributions, and Design of Experiments.  This 1 week workshop is designed for participants who have not previously completed Six Sigma Green Belt or Black Belt training, or need to brush up on the fundamentals of DOE and statistical analysis in preparation for further Design for Six Sigma training.</w:t>
      </w:r>
    </w:p>
    <w:p w:rsidR="0023451E" w:rsidRPr="00500843" w:rsidRDefault="0023451E" w:rsidP="0023451E">
      <w:pPr>
        <w:jc w:val="both"/>
        <w:rPr>
          <w:rFonts w:ascii="Times New Roman" w:hAnsi="Times New Roman" w:cs="Times New Roman"/>
          <w:color w:val="222A35" w:themeColor="text2" w:themeShade="80"/>
          <w:sz w:val="24"/>
          <w:szCs w:val="20"/>
        </w:rPr>
      </w:pPr>
    </w:p>
    <w:p w:rsidR="0023451E" w:rsidRPr="00500843" w:rsidRDefault="0023451E" w:rsidP="0023451E">
      <w:pPr>
        <w:jc w:val="both"/>
        <w:rPr>
          <w:rFonts w:ascii="Times New Roman" w:hAnsi="Times New Roman" w:cs="Times New Roman"/>
          <w:color w:val="222A35" w:themeColor="text2" w:themeShade="80"/>
          <w:sz w:val="24"/>
          <w:szCs w:val="20"/>
        </w:rPr>
      </w:pPr>
      <w:r w:rsidRPr="00500843">
        <w:rPr>
          <w:rFonts w:ascii="Times New Roman" w:hAnsi="Times New Roman" w:cs="Times New Roman"/>
          <w:color w:val="222A35" w:themeColor="text2" w:themeShade="80"/>
          <w:sz w:val="24"/>
          <w:szCs w:val="20"/>
        </w:rPr>
        <w:t>The proven and powerful Design for Six Sigma (DFSS)</w:t>
      </w:r>
      <w:r w:rsidRPr="00500843">
        <w:rPr>
          <w:rFonts w:ascii="Times New Roman" w:hAnsi="Times New Roman" w:cs="Times New Roman"/>
          <w:b/>
          <w:color w:val="222A35" w:themeColor="text2" w:themeShade="80"/>
          <w:sz w:val="24"/>
          <w:szCs w:val="20"/>
        </w:rPr>
        <w:t xml:space="preserve"> </w:t>
      </w:r>
      <w:r w:rsidRPr="00500843">
        <w:rPr>
          <w:rFonts w:ascii="Times New Roman" w:hAnsi="Times New Roman" w:cs="Times New Roman"/>
          <w:color w:val="222A35" w:themeColor="text2" w:themeShade="80"/>
          <w:sz w:val="24"/>
          <w:szCs w:val="20"/>
        </w:rPr>
        <w:t xml:space="preserve">methodology can be used for both initial design as well as re-design efforts, and provides a way to implement the Six Sigma methodology as early in the product or service life cycle as possible.  DFSS teaches participants how to “design in” quality when costs are the lowest in order to create new game-changing products and services which exhibit outstanding performance right from the start.   DFSS employs the IDOV methodology, which focuses on </w:t>
      </w:r>
      <w:r w:rsidRPr="00500843">
        <w:rPr>
          <w:rFonts w:ascii="Times New Roman" w:hAnsi="Times New Roman" w:cs="Times New Roman"/>
          <w:color w:val="222A35" w:themeColor="text2" w:themeShade="80"/>
          <w:sz w:val="24"/>
          <w:szCs w:val="20"/>
          <w:u w:val="single"/>
        </w:rPr>
        <w:t>identifying</w:t>
      </w:r>
      <w:r w:rsidRPr="00500843">
        <w:rPr>
          <w:rFonts w:ascii="Times New Roman" w:hAnsi="Times New Roman" w:cs="Times New Roman"/>
          <w:color w:val="222A35" w:themeColor="text2" w:themeShade="80"/>
          <w:sz w:val="24"/>
          <w:szCs w:val="20"/>
        </w:rPr>
        <w:t xml:space="preserve"> the voice of the customer, </w:t>
      </w:r>
      <w:r w:rsidRPr="00500843">
        <w:rPr>
          <w:rFonts w:ascii="Times New Roman" w:hAnsi="Times New Roman" w:cs="Times New Roman"/>
          <w:color w:val="222A35" w:themeColor="text2" w:themeShade="80"/>
          <w:sz w:val="24"/>
          <w:szCs w:val="20"/>
          <w:u w:val="single"/>
        </w:rPr>
        <w:t>designing</w:t>
      </w:r>
      <w:r w:rsidRPr="00500843">
        <w:rPr>
          <w:rFonts w:ascii="Times New Roman" w:hAnsi="Times New Roman" w:cs="Times New Roman"/>
          <w:color w:val="222A35" w:themeColor="text2" w:themeShade="80"/>
          <w:sz w:val="24"/>
          <w:szCs w:val="20"/>
        </w:rPr>
        <w:t xml:space="preserve"> products and processes which satisfy the customer’s requirements, </w:t>
      </w:r>
      <w:r w:rsidRPr="00500843">
        <w:rPr>
          <w:rFonts w:ascii="Times New Roman" w:hAnsi="Times New Roman" w:cs="Times New Roman"/>
          <w:color w:val="222A35" w:themeColor="text2" w:themeShade="80"/>
          <w:sz w:val="24"/>
          <w:szCs w:val="20"/>
          <w:u w:val="single"/>
        </w:rPr>
        <w:t>optimizing</w:t>
      </w:r>
      <w:r w:rsidRPr="00500843">
        <w:rPr>
          <w:rFonts w:ascii="Times New Roman" w:hAnsi="Times New Roman" w:cs="Times New Roman"/>
          <w:color w:val="222A35" w:themeColor="text2" w:themeShade="80"/>
          <w:sz w:val="24"/>
          <w:szCs w:val="20"/>
        </w:rPr>
        <w:t xml:space="preserve"> products and processes to maximize performance, and testing and </w:t>
      </w:r>
      <w:r w:rsidRPr="00500843">
        <w:rPr>
          <w:rFonts w:ascii="Times New Roman" w:hAnsi="Times New Roman" w:cs="Times New Roman"/>
          <w:color w:val="222A35" w:themeColor="text2" w:themeShade="80"/>
          <w:sz w:val="24"/>
          <w:szCs w:val="20"/>
          <w:u w:val="single"/>
        </w:rPr>
        <w:t>validating</w:t>
      </w:r>
      <w:r w:rsidRPr="00500843">
        <w:rPr>
          <w:rFonts w:ascii="Times New Roman" w:hAnsi="Times New Roman" w:cs="Times New Roman"/>
          <w:color w:val="222A35" w:themeColor="text2" w:themeShade="80"/>
          <w:sz w:val="24"/>
          <w:szCs w:val="20"/>
        </w:rPr>
        <w:t xml:space="preserve"> designs to ensure capability. </w:t>
      </w:r>
    </w:p>
    <w:p w:rsidR="0023451E" w:rsidRPr="00500843" w:rsidRDefault="0023451E" w:rsidP="0023451E">
      <w:pPr>
        <w:jc w:val="both"/>
        <w:rPr>
          <w:rFonts w:ascii="Times New Roman" w:hAnsi="Times New Roman" w:cs="Times New Roman"/>
          <w:color w:val="222A35" w:themeColor="text2" w:themeShade="80"/>
          <w:sz w:val="24"/>
          <w:szCs w:val="20"/>
        </w:rPr>
      </w:pPr>
    </w:p>
    <w:p w:rsidR="0023451E" w:rsidRPr="00500843" w:rsidRDefault="0023451E" w:rsidP="0023451E">
      <w:pPr>
        <w:jc w:val="both"/>
        <w:rPr>
          <w:rFonts w:cs="Times New Roman"/>
          <w:color w:val="222A35" w:themeColor="text2" w:themeShade="80"/>
          <w:sz w:val="24"/>
          <w:szCs w:val="20"/>
        </w:rPr>
      </w:pPr>
      <w:r w:rsidRPr="00500843">
        <w:rPr>
          <w:rFonts w:ascii="Times New Roman" w:hAnsi="Times New Roman" w:cs="Times New Roman"/>
          <w:color w:val="222A35" w:themeColor="text2" w:themeShade="80"/>
          <w:sz w:val="24"/>
          <w:szCs w:val="20"/>
        </w:rPr>
        <w:t xml:space="preserve">In the foundations course, emphasis is placed on understanding statistical concepts and methods used in the DFSS process.  Participants learn how to set up and assess a measurement system to ensure that it provides accurate and repeatable data.  Various data distributions are explored and used to help predict defect levels or probabilities of not meeting requirements.  The details of how to plan, design, conduct, and analyze statistically designed experiments is taught so that participants can build transfer functions and models useful for gaining knowledge about a product or process and for optimization and variance reduction.  Emphasis is on developing </w:t>
      </w:r>
      <w:r w:rsidRPr="00500843">
        <w:rPr>
          <w:rFonts w:ascii="Times New Roman" w:hAnsi="Times New Roman" w:cs="Times New Roman"/>
          <w:color w:val="222A35" w:themeColor="text2" w:themeShade="80"/>
          <w:sz w:val="24"/>
          <w:szCs w:val="20"/>
          <w:u w:val="single"/>
        </w:rPr>
        <w:t xml:space="preserve">practitioners </w:t>
      </w:r>
      <w:r w:rsidRPr="00500843">
        <w:rPr>
          <w:rFonts w:ascii="Times New Roman" w:hAnsi="Times New Roman" w:cs="Times New Roman"/>
          <w:color w:val="222A35" w:themeColor="text2" w:themeShade="80"/>
          <w:sz w:val="24"/>
          <w:szCs w:val="20"/>
        </w:rPr>
        <w:t>in the organization who are focused on improving customer satisfaction and generating business growth and breakthrough improvements.  During the workshop, participants will complete several in-class exercises which allow them to gain confidence using the software, analyzing data, and applying MSA and DOE.   The intended audience is anyone who desires to attend the Breakthrough Performance Design for Six Sigma course and lacks the required background.</w:t>
      </w:r>
    </w:p>
    <w:p w:rsidR="005C783D" w:rsidRPr="00500843" w:rsidRDefault="005C783D" w:rsidP="005C783D">
      <w:pPr>
        <w:rPr>
          <w:color w:val="222A35" w:themeColor="text2" w:themeShade="80"/>
        </w:rPr>
      </w:pPr>
    </w:p>
    <w:p w:rsidR="00302986" w:rsidRPr="00500843" w:rsidRDefault="00302986" w:rsidP="005C783D">
      <w:pPr>
        <w:rPr>
          <w:color w:val="222A35" w:themeColor="text2" w:themeShade="80"/>
        </w:rPr>
      </w:pPr>
    </w:p>
    <w:p w:rsidR="004F77FE" w:rsidRPr="00500843" w:rsidRDefault="004F77FE" w:rsidP="00302986">
      <w:pPr>
        <w:rPr>
          <w:rFonts w:ascii="Helvetica Narrow" w:hAnsi="Helvetica Narrow"/>
          <w:b/>
          <w:color w:val="222A35" w:themeColor="text2" w:themeShade="80"/>
          <w:kern w:val="28"/>
          <w:sz w:val="28"/>
          <w:szCs w:val="28"/>
        </w:rPr>
      </w:pPr>
    </w:p>
    <w:p w:rsidR="00302986" w:rsidRPr="00500843" w:rsidRDefault="00302986" w:rsidP="00500843">
      <w:pPr>
        <w:jc w:val="center"/>
        <w:rPr>
          <w:rFonts w:ascii="Helvetica Narrow" w:hAnsi="Helvetica Narrow"/>
          <w:b/>
          <w:color w:val="222A35" w:themeColor="text2" w:themeShade="80"/>
          <w:kern w:val="28"/>
          <w:sz w:val="28"/>
          <w:szCs w:val="28"/>
        </w:rPr>
      </w:pPr>
      <w:r w:rsidRPr="00500843">
        <w:rPr>
          <w:rFonts w:ascii="Helvetica Narrow" w:hAnsi="Helvetica Narrow"/>
          <w:b/>
          <w:color w:val="222A35" w:themeColor="text2" w:themeShade="80"/>
          <w:kern w:val="28"/>
          <w:sz w:val="28"/>
          <w:szCs w:val="28"/>
        </w:rPr>
        <w:t>Course Agenda</w:t>
      </w:r>
    </w:p>
    <w:p w:rsidR="00302986" w:rsidRPr="00500843" w:rsidRDefault="00302986" w:rsidP="00302986">
      <w:pPr>
        <w:rPr>
          <w:rFonts w:ascii="Helvetica Narrow" w:hAnsi="Helvetica Narrow"/>
          <w:color w:val="222A35" w:themeColor="text2" w:themeShade="80"/>
          <w:kern w:val="28"/>
        </w:rPr>
      </w:pPr>
    </w:p>
    <w:p w:rsidR="00302986" w:rsidRPr="00500843" w:rsidRDefault="00302986" w:rsidP="00302986">
      <w:pPr>
        <w:rPr>
          <w:rFonts w:ascii="Times New Roman" w:hAnsi="Times New Roman" w:cs="Times New Roman"/>
          <w:color w:val="222A35" w:themeColor="text2" w:themeShade="80"/>
          <w:sz w:val="24"/>
          <w:szCs w:val="20"/>
        </w:rPr>
      </w:pPr>
      <w:r w:rsidRPr="00500843">
        <w:rPr>
          <w:rFonts w:ascii="Times New Roman" w:hAnsi="Times New Roman" w:cs="Times New Roman"/>
          <w:color w:val="222A35" w:themeColor="text2" w:themeShade="80"/>
          <w:sz w:val="24"/>
          <w:szCs w:val="20"/>
        </w:rPr>
        <w:t>Introduction to Design for Six Sigma (DFSS)</w:t>
      </w:r>
    </w:p>
    <w:p w:rsidR="00302986" w:rsidRPr="00500843" w:rsidRDefault="00302986" w:rsidP="00302986">
      <w:pPr>
        <w:numPr>
          <w:ilvl w:val="0"/>
          <w:numId w:val="1"/>
        </w:numPr>
        <w:tabs>
          <w:tab w:val="clear" w:pos="360"/>
          <w:tab w:val="num" w:pos="720"/>
        </w:tabs>
        <w:ind w:left="720"/>
        <w:rPr>
          <w:rFonts w:ascii="Times New Roman" w:hAnsi="Times New Roman" w:cs="Times New Roman"/>
          <w:color w:val="222A35" w:themeColor="text2" w:themeShade="80"/>
          <w:sz w:val="22"/>
          <w:szCs w:val="20"/>
        </w:rPr>
      </w:pPr>
      <w:r w:rsidRPr="00500843">
        <w:rPr>
          <w:rFonts w:ascii="Times New Roman" w:hAnsi="Times New Roman" w:cs="Times New Roman"/>
          <w:color w:val="222A35" w:themeColor="text2" w:themeShade="80"/>
          <w:sz w:val="22"/>
          <w:szCs w:val="20"/>
        </w:rPr>
        <w:t>The What and Why of Design for Six Sigma</w:t>
      </w:r>
    </w:p>
    <w:p w:rsidR="00302986" w:rsidRPr="00500843" w:rsidRDefault="00302986" w:rsidP="00302986">
      <w:pPr>
        <w:numPr>
          <w:ilvl w:val="0"/>
          <w:numId w:val="1"/>
        </w:numPr>
        <w:tabs>
          <w:tab w:val="clear" w:pos="360"/>
          <w:tab w:val="num" w:pos="720"/>
        </w:tabs>
        <w:ind w:left="720"/>
        <w:rPr>
          <w:rFonts w:ascii="Times New Roman" w:hAnsi="Times New Roman" w:cs="Times New Roman"/>
          <w:color w:val="222A35" w:themeColor="text2" w:themeShade="80"/>
          <w:sz w:val="22"/>
          <w:szCs w:val="20"/>
        </w:rPr>
      </w:pPr>
      <w:r w:rsidRPr="00500843">
        <w:rPr>
          <w:rFonts w:ascii="Times New Roman" w:hAnsi="Times New Roman" w:cs="Times New Roman"/>
          <w:color w:val="222A35" w:themeColor="text2" w:themeShade="80"/>
          <w:sz w:val="22"/>
          <w:szCs w:val="20"/>
        </w:rPr>
        <w:t>Design for Six Sigma Master Strategy: IDOV</w:t>
      </w:r>
    </w:p>
    <w:p w:rsidR="00302986" w:rsidRPr="00500843" w:rsidRDefault="00302986" w:rsidP="00302986">
      <w:pPr>
        <w:numPr>
          <w:ilvl w:val="0"/>
          <w:numId w:val="1"/>
        </w:numPr>
        <w:tabs>
          <w:tab w:val="clear" w:pos="360"/>
          <w:tab w:val="num" w:pos="720"/>
        </w:tabs>
        <w:ind w:left="720"/>
        <w:rPr>
          <w:rFonts w:ascii="Times New Roman" w:hAnsi="Times New Roman" w:cs="Times New Roman"/>
          <w:color w:val="222A35" w:themeColor="text2" w:themeShade="80"/>
          <w:sz w:val="22"/>
          <w:szCs w:val="20"/>
        </w:rPr>
      </w:pPr>
      <w:r w:rsidRPr="00500843">
        <w:rPr>
          <w:rFonts w:ascii="Times New Roman" w:hAnsi="Times New Roman" w:cs="Times New Roman"/>
          <w:color w:val="222A35" w:themeColor="text2" w:themeShade="80"/>
          <w:sz w:val="22"/>
          <w:szCs w:val="20"/>
        </w:rPr>
        <w:t>DFSS Studies and Projects</w:t>
      </w:r>
    </w:p>
    <w:p w:rsidR="00302986" w:rsidRPr="00500843" w:rsidRDefault="00302986" w:rsidP="00302986">
      <w:pPr>
        <w:numPr>
          <w:ilvl w:val="0"/>
          <w:numId w:val="1"/>
        </w:numPr>
        <w:tabs>
          <w:tab w:val="clear" w:pos="360"/>
          <w:tab w:val="num" w:pos="720"/>
        </w:tabs>
        <w:ind w:left="720"/>
        <w:rPr>
          <w:rFonts w:ascii="Times New Roman" w:hAnsi="Times New Roman" w:cs="Times New Roman"/>
          <w:color w:val="222A35" w:themeColor="text2" w:themeShade="80"/>
          <w:sz w:val="22"/>
          <w:szCs w:val="20"/>
        </w:rPr>
      </w:pPr>
      <w:r w:rsidRPr="00500843">
        <w:rPr>
          <w:rFonts w:ascii="Times New Roman" w:hAnsi="Times New Roman" w:cs="Times New Roman"/>
          <w:color w:val="222A35" w:themeColor="text2" w:themeShade="80"/>
          <w:sz w:val="22"/>
          <w:szCs w:val="20"/>
        </w:rPr>
        <w:t>Key Players and Roles</w:t>
      </w:r>
    </w:p>
    <w:p w:rsidR="00302986" w:rsidRPr="00500843" w:rsidRDefault="00302986" w:rsidP="00302986">
      <w:pPr>
        <w:numPr>
          <w:ilvl w:val="0"/>
          <w:numId w:val="1"/>
        </w:numPr>
        <w:tabs>
          <w:tab w:val="clear" w:pos="360"/>
          <w:tab w:val="num" w:pos="720"/>
        </w:tabs>
        <w:ind w:left="720"/>
        <w:rPr>
          <w:rFonts w:ascii="Times New Roman" w:hAnsi="Times New Roman" w:cs="Times New Roman"/>
          <w:color w:val="222A35" w:themeColor="text2" w:themeShade="80"/>
          <w:sz w:val="22"/>
          <w:szCs w:val="20"/>
        </w:rPr>
      </w:pPr>
      <w:r w:rsidRPr="00500843">
        <w:rPr>
          <w:rFonts w:ascii="Times New Roman" w:hAnsi="Times New Roman" w:cs="Times New Roman"/>
          <w:color w:val="222A35" w:themeColor="text2" w:themeShade="80"/>
          <w:sz w:val="22"/>
          <w:szCs w:val="20"/>
        </w:rPr>
        <w:t>Course Philosophy and Instructional Approach</w:t>
      </w:r>
    </w:p>
    <w:p w:rsidR="00302986" w:rsidRPr="00500843" w:rsidRDefault="00302986" w:rsidP="00302986">
      <w:pPr>
        <w:rPr>
          <w:rFonts w:cs="Times New Roman"/>
          <w:color w:val="222A35" w:themeColor="text2" w:themeShade="80"/>
          <w:sz w:val="24"/>
          <w:szCs w:val="20"/>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Six Sigma Fundamentals</w:t>
      </w:r>
    </w:p>
    <w:p w:rsidR="00302986" w:rsidRPr="00500843" w:rsidRDefault="00302986" w:rsidP="00302986">
      <w:pPr>
        <w:numPr>
          <w:ilvl w:val="0"/>
          <w:numId w:val="2"/>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Basics of Six Sigma and its Key Principles</w:t>
      </w:r>
    </w:p>
    <w:p w:rsidR="00302986" w:rsidRPr="00500843" w:rsidRDefault="00302986" w:rsidP="00302986">
      <w:pPr>
        <w:numPr>
          <w:ilvl w:val="0"/>
          <w:numId w:val="2"/>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Defining Processes Using IPO Diagrams</w:t>
      </w:r>
    </w:p>
    <w:p w:rsidR="00302986" w:rsidRPr="00500843" w:rsidRDefault="00302986" w:rsidP="00302986">
      <w:pPr>
        <w:numPr>
          <w:ilvl w:val="0"/>
          <w:numId w:val="2"/>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 xml:space="preserve">Key Terminology (Distribution, Mean, Median, Standard Deviation, </w:t>
      </w:r>
      <w:proofErr w:type="spellStart"/>
      <w:r w:rsidRPr="00500843">
        <w:rPr>
          <w:rFonts w:ascii="Times New Roman" w:hAnsi="Times New Roman" w:cs="Times New Roman"/>
          <w:color w:val="222A35" w:themeColor="text2" w:themeShade="80"/>
          <w:sz w:val="22"/>
          <w:szCs w:val="22"/>
        </w:rPr>
        <w:t>Cp</w:t>
      </w:r>
      <w:proofErr w:type="spellEnd"/>
      <w:r w:rsidRPr="00500843">
        <w:rPr>
          <w:rFonts w:ascii="Times New Roman" w:hAnsi="Times New Roman" w:cs="Times New Roman"/>
          <w:color w:val="222A35" w:themeColor="text2" w:themeShade="80"/>
          <w:sz w:val="22"/>
          <w:szCs w:val="22"/>
        </w:rPr>
        <w:t xml:space="preserve">, </w:t>
      </w:r>
      <w:proofErr w:type="spellStart"/>
      <w:r w:rsidRPr="00500843">
        <w:rPr>
          <w:rFonts w:ascii="Times New Roman" w:hAnsi="Times New Roman" w:cs="Times New Roman"/>
          <w:color w:val="222A35" w:themeColor="text2" w:themeShade="80"/>
          <w:sz w:val="22"/>
          <w:szCs w:val="22"/>
        </w:rPr>
        <w:t>Cpk</w:t>
      </w:r>
      <w:proofErr w:type="spellEnd"/>
      <w:r w:rsidRPr="00500843">
        <w:rPr>
          <w:rFonts w:ascii="Times New Roman" w:hAnsi="Times New Roman" w:cs="Times New Roman"/>
          <w:color w:val="222A35" w:themeColor="text2" w:themeShade="80"/>
          <w:sz w:val="22"/>
          <w:szCs w:val="22"/>
        </w:rPr>
        <w:t>, sigma level, first pass yield, defects)</w:t>
      </w:r>
    </w:p>
    <w:p w:rsidR="00302986" w:rsidRPr="00500843" w:rsidRDefault="00302986" w:rsidP="00302986">
      <w:pPr>
        <w:numPr>
          <w:ilvl w:val="0"/>
          <w:numId w:val="2"/>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PF/CE/CNX/SOP (the first line of defense against variation)</w:t>
      </w:r>
    </w:p>
    <w:p w:rsidR="00302986" w:rsidRPr="00500843" w:rsidRDefault="00302986" w:rsidP="00302986">
      <w:pPr>
        <w:rPr>
          <w:rFonts w:ascii="Times New Roman" w:hAnsi="Times New Roman" w:cs="Times New Roman"/>
          <w:color w:val="222A35" w:themeColor="text2" w:themeShade="80"/>
          <w:sz w:val="20"/>
          <w:szCs w:val="20"/>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Measurement System Analysis</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Properties of a Good Measurement System</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Impact of Measurement System Variation</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How to Set Up, Conduct, and Perform a Measurement System Analysis</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Variables Data</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Attribute Data</w:t>
      </w:r>
    </w:p>
    <w:p w:rsidR="00302986" w:rsidRPr="00500843" w:rsidRDefault="00302986" w:rsidP="00302986">
      <w:pPr>
        <w:numPr>
          <w:ilvl w:val="0"/>
          <w:numId w:val="3"/>
        </w:numPr>
        <w:tabs>
          <w:tab w:val="clear" w:pos="360"/>
          <w:tab w:val="num" w:pos="720"/>
        </w:tabs>
        <w:ind w:left="720"/>
        <w:rPr>
          <w:rFonts w:ascii="Times New Roman" w:hAnsi="Times New Roman" w:cs="Times New Roman"/>
          <w:i/>
          <w:color w:val="222A35" w:themeColor="text2" w:themeShade="80"/>
          <w:sz w:val="22"/>
          <w:szCs w:val="22"/>
        </w:rPr>
      </w:pPr>
      <w:r w:rsidRPr="00500843">
        <w:rPr>
          <w:rFonts w:ascii="Times New Roman" w:hAnsi="Times New Roman" w:cs="Times New Roman"/>
          <w:iCs/>
          <w:color w:val="222A35" w:themeColor="text2" w:themeShade="80"/>
          <w:sz w:val="22"/>
          <w:szCs w:val="22"/>
        </w:rPr>
        <w:t>Interpretation of MSA Results and Metrics</w:t>
      </w:r>
    </w:p>
    <w:p w:rsidR="00302986" w:rsidRPr="00500843" w:rsidRDefault="00302986" w:rsidP="00302986">
      <w:pPr>
        <w:numPr>
          <w:ilvl w:val="0"/>
          <w:numId w:val="4"/>
        </w:numPr>
        <w:rPr>
          <w:rFonts w:ascii="Times New Roman" w:hAnsi="Times New Roman" w:cs="Times New Roman"/>
          <w:iCs/>
          <w:color w:val="222A35" w:themeColor="text2" w:themeShade="80"/>
          <w:sz w:val="22"/>
          <w:szCs w:val="22"/>
        </w:rPr>
      </w:pPr>
      <w:r w:rsidRPr="00500843">
        <w:rPr>
          <w:rFonts w:ascii="Times New Roman" w:hAnsi="Times New Roman" w:cs="Times New Roman"/>
          <w:iCs/>
          <w:color w:val="222A35" w:themeColor="text2" w:themeShade="80"/>
          <w:sz w:val="22"/>
          <w:szCs w:val="22"/>
        </w:rPr>
        <w:t>Repeatability</w:t>
      </w:r>
    </w:p>
    <w:p w:rsidR="00302986" w:rsidRPr="00500843" w:rsidRDefault="00302986" w:rsidP="00302986">
      <w:pPr>
        <w:numPr>
          <w:ilvl w:val="0"/>
          <w:numId w:val="4"/>
        </w:numPr>
        <w:rPr>
          <w:rFonts w:ascii="Times New Roman" w:hAnsi="Times New Roman" w:cs="Times New Roman"/>
          <w:i/>
          <w:color w:val="222A35" w:themeColor="text2" w:themeShade="80"/>
          <w:sz w:val="22"/>
          <w:szCs w:val="22"/>
        </w:rPr>
      </w:pPr>
      <w:r w:rsidRPr="00500843">
        <w:rPr>
          <w:rFonts w:ascii="Times New Roman" w:hAnsi="Times New Roman" w:cs="Times New Roman"/>
          <w:iCs/>
          <w:color w:val="222A35" w:themeColor="text2" w:themeShade="80"/>
          <w:sz w:val="22"/>
          <w:szCs w:val="22"/>
        </w:rPr>
        <w:t>Reproducibility</w:t>
      </w:r>
    </w:p>
    <w:p w:rsidR="00302986" w:rsidRPr="00500843" w:rsidRDefault="00302986" w:rsidP="00302986">
      <w:pPr>
        <w:numPr>
          <w:ilvl w:val="0"/>
          <w:numId w:val="4"/>
        </w:numPr>
        <w:rPr>
          <w:rFonts w:ascii="Times New Roman" w:hAnsi="Times New Roman" w:cs="Times New Roman"/>
          <w:i/>
          <w:color w:val="222A35" w:themeColor="text2" w:themeShade="80"/>
          <w:sz w:val="22"/>
          <w:szCs w:val="22"/>
        </w:rPr>
      </w:pPr>
      <w:r w:rsidRPr="00500843">
        <w:rPr>
          <w:rFonts w:ascii="Times New Roman" w:hAnsi="Times New Roman" w:cs="Times New Roman"/>
          <w:iCs/>
          <w:color w:val="222A35" w:themeColor="text2" w:themeShade="80"/>
          <w:sz w:val="22"/>
          <w:szCs w:val="22"/>
        </w:rPr>
        <w:t>P/</w:t>
      </w:r>
      <w:proofErr w:type="spellStart"/>
      <w:r w:rsidRPr="00500843">
        <w:rPr>
          <w:rFonts w:ascii="Times New Roman" w:hAnsi="Times New Roman" w:cs="Times New Roman"/>
          <w:iCs/>
          <w:color w:val="222A35" w:themeColor="text2" w:themeShade="80"/>
          <w:sz w:val="22"/>
          <w:szCs w:val="22"/>
        </w:rPr>
        <w:t>Tol</w:t>
      </w:r>
      <w:proofErr w:type="spellEnd"/>
      <w:r w:rsidRPr="00500843">
        <w:rPr>
          <w:rFonts w:ascii="Times New Roman" w:hAnsi="Times New Roman" w:cs="Times New Roman"/>
          <w:iCs/>
          <w:color w:val="222A35" w:themeColor="text2" w:themeShade="80"/>
          <w:sz w:val="22"/>
          <w:szCs w:val="22"/>
        </w:rPr>
        <w:t xml:space="preserve"> ratio</w:t>
      </w:r>
    </w:p>
    <w:p w:rsidR="00302986" w:rsidRPr="00500843" w:rsidRDefault="00302986" w:rsidP="00302986">
      <w:pPr>
        <w:numPr>
          <w:ilvl w:val="0"/>
          <w:numId w:val="4"/>
        </w:numPr>
        <w:rPr>
          <w:rFonts w:ascii="Times New Roman" w:hAnsi="Times New Roman" w:cs="Times New Roman"/>
          <w:i/>
          <w:color w:val="222A35" w:themeColor="text2" w:themeShade="80"/>
          <w:sz w:val="22"/>
          <w:szCs w:val="22"/>
        </w:rPr>
      </w:pPr>
      <w:r w:rsidRPr="00500843">
        <w:rPr>
          <w:rFonts w:ascii="Times New Roman" w:hAnsi="Times New Roman" w:cs="Times New Roman"/>
          <w:iCs/>
          <w:color w:val="222A35" w:themeColor="text2" w:themeShade="80"/>
          <w:sz w:val="22"/>
          <w:szCs w:val="22"/>
        </w:rPr>
        <w:t>P/total ratio</w:t>
      </w:r>
    </w:p>
    <w:p w:rsidR="00302986" w:rsidRPr="00500843" w:rsidRDefault="00302986" w:rsidP="00302986">
      <w:pPr>
        <w:numPr>
          <w:ilvl w:val="0"/>
          <w:numId w:val="4"/>
        </w:numPr>
        <w:rPr>
          <w:rFonts w:ascii="Times New Roman" w:hAnsi="Times New Roman" w:cs="Times New Roman"/>
          <w:i/>
          <w:color w:val="222A35" w:themeColor="text2" w:themeShade="80"/>
          <w:sz w:val="22"/>
          <w:szCs w:val="22"/>
        </w:rPr>
      </w:pPr>
      <w:r w:rsidRPr="00500843">
        <w:rPr>
          <w:rFonts w:ascii="Times New Roman" w:hAnsi="Times New Roman" w:cs="Times New Roman"/>
          <w:iCs/>
          <w:color w:val="222A35" w:themeColor="text2" w:themeShade="80"/>
          <w:sz w:val="22"/>
          <w:szCs w:val="22"/>
        </w:rPr>
        <w:t>Discrimination (resolution)</w:t>
      </w:r>
    </w:p>
    <w:p w:rsidR="00302986" w:rsidRPr="00500843" w:rsidRDefault="00302986" w:rsidP="00302986">
      <w:pPr>
        <w:numPr>
          <w:ilvl w:val="0"/>
          <w:numId w:val="4"/>
        </w:numPr>
        <w:rPr>
          <w:rFonts w:ascii="Times New Roman" w:hAnsi="Times New Roman" w:cs="Times New Roman"/>
          <w:i/>
          <w:color w:val="222A35" w:themeColor="text2" w:themeShade="80"/>
          <w:sz w:val="24"/>
          <w:szCs w:val="24"/>
        </w:rPr>
      </w:pPr>
      <w:r w:rsidRPr="00500843">
        <w:rPr>
          <w:rFonts w:ascii="Times New Roman" w:hAnsi="Times New Roman" w:cs="Times New Roman"/>
          <w:iCs/>
          <w:color w:val="222A35" w:themeColor="text2" w:themeShade="80"/>
          <w:sz w:val="22"/>
          <w:szCs w:val="22"/>
        </w:rPr>
        <w:t>Effectiveness, Probability of False Rejects, Probability of False Accepts</w:t>
      </w:r>
    </w:p>
    <w:p w:rsidR="00302986" w:rsidRPr="00500843" w:rsidRDefault="00302986" w:rsidP="00302986">
      <w:pPr>
        <w:ind w:left="720"/>
        <w:rPr>
          <w:rFonts w:ascii="Times New Roman" w:hAnsi="Times New Roman" w:cs="Times New Roman"/>
          <w:i/>
          <w:color w:val="222A35" w:themeColor="text2" w:themeShade="80"/>
          <w:sz w:val="20"/>
          <w:szCs w:val="20"/>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Understanding Data Distributions and Their Applications</w:t>
      </w:r>
    </w:p>
    <w:p w:rsidR="00302986" w:rsidRPr="00500843" w:rsidRDefault="00302986" w:rsidP="00302986">
      <w:pPr>
        <w:numPr>
          <w:ilvl w:val="0"/>
          <w:numId w:val="5"/>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Basic Concepts of Probability</w:t>
      </w:r>
    </w:p>
    <w:p w:rsidR="00302986" w:rsidRPr="00500843" w:rsidRDefault="00302986" w:rsidP="00302986">
      <w:pPr>
        <w:numPr>
          <w:ilvl w:val="0"/>
          <w:numId w:val="5"/>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Fact that Probability is Often Not Intuitive</w:t>
      </w:r>
    </w:p>
    <w:p w:rsidR="00302986" w:rsidRPr="00500843" w:rsidRDefault="00302986" w:rsidP="00302986">
      <w:pPr>
        <w:numPr>
          <w:ilvl w:val="0"/>
          <w:numId w:val="5"/>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Four Common Distributions and Their Application to Problem Solving</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Binomial distribution</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Poisson distribution</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Exponential distribution</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Normal distribution</w:t>
      </w:r>
    </w:p>
    <w:p w:rsidR="00302986" w:rsidRPr="00500843" w:rsidRDefault="00302986" w:rsidP="00302986">
      <w:pPr>
        <w:numPr>
          <w:ilvl w:val="0"/>
          <w:numId w:val="6"/>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Using statistical software for Calculating Probabilities</w:t>
      </w: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500843" w:rsidP="00302986">
      <w:pP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I</w:t>
      </w:r>
      <w:r w:rsidR="00302986" w:rsidRPr="00500843">
        <w:rPr>
          <w:rFonts w:ascii="Times New Roman" w:hAnsi="Times New Roman" w:cs="Times New Roman"/>
          <w:color w:val="222A35" w:themeColor="text2" w:themeShade="80"/>
          <w:sz w:val="24"/>
          <w:szCs w:val="24"/>
        </w:rPr>
        <w:t>ntroduction to Regression Analysis and Design of Experiments (DOE)</w:t>
      </w:r>
    </w:p>
    <w:p w:rsidR="00302986" w:rsidRPr="00500843" w:rsidRDefault="00302986" w:rsidP="00302986">
      <w:pPr>
        <w:numPr>
          <w:ilvl w:val="0"/>
          <w:numId w:val="8"/>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 xml:space="preserve">What is Regression and What is it </w:t>
      </w:r>
      <w:proofErr w:type="gramStart"/>
      <w:r w:rsidRPr="00500843">
        <w:rPr>
          <w:rFonts w:ascii="Times New Roman" w:hAnsi="Times New Roman" w:cs="Times New Roman"/>
          <w:color w:val="222A35" w:themeColor="text2" w:themeShade="80"/>
          <w:sz w:val="22"/>
          <w:szCs w:val="22"/>
        </w:rPr>
        <w:t>Used</w:t>
      </w:r>
      <w:proofErr w:type="gramEnd"/>
      <w:r w:rsidRPr="00500843">
        <w:rPr>
          <w:rFonts w:ascii="Times New Roman" w:hAnsi="Times New Roman" w:cs="Times New Roman"/>
          <w:color w:val="222A35" w:themeColor="text2" w:themeShade="80"/>
          <w:sz w:val="22"/>
          <w:szCs w:val="22"/>
        </w:rPr>
        <w:t xml:space="preserve"> For?</w:t>
      </w:r>
    </w:p>
    <w:p w:rsidR="00302986" w:rsidRPr="00500843" w:rsidRDefault="00302986" w:rsidP="00302986">
      <w:pPr>
        <w:numPr>
          <w:ilvl w:val="0"/>
          <w:numId w:val="8"/>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Terminology Involved in Simple Linear Regression</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Intercept</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Slope</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Prediction Equation</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Residual</w:t>
      </w:r>
    </w:p>
    <w:p w:rsidR="00302986" w:rsidRPr="00500843" w:rsidRDefault="00302986" w:rsidP="00302986">
      <w:pPr>
        <w:numPr>
          <w:ilvl w:val="0"/>
          <w:numId w:val="4"/>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R-Squared</w:t>
      </w:r>
    </w:p>
    <w:p w:rsidR="00302986" w:rsidRPr="00500843" w:rsidRDefault="00302986" w:rsidP="00302986">
      <w:pPr>
        <w:numPr>
          <w:ilvl w:val="0"/>
          <w:numId w:val="8"/>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Use of statistical software for Regression Analysis and Interpretation of Output</w:t>
      </w:r>
    </w:p>
    <w:p w:rsidR="00302986" w:rsidRPr="00500843" w:rsidRDefault="00302986" w:rsidP="00302986">
      <w:pPr>
        <w:numPr>
          <w:ilvl w:val="0"/>
          <w:numId w:val="8"/>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Introduction to Design of Experiments (DOE)</w:t>
      </w:r>
    </w:p>
    <w:p w:rsidR="00302986" w:rsidRPr="00500843" w:rsidRDefault="00302986" w:rsidP="00302986">
      <w:pPr>
        <w:rPr>
          <w:rFonts w:ascii="Times New Roman" w:hAnsi="Times New Roman" w:cs="Times New Roman"/>
          <w:color w:val="222A35" w:themeColor="text2" w:themeShade="80"/>
          <w:sz w:val="20"/>
          <w:szCs w:val="20"/>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Foundations of Design of Experiments (DOE)</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Purpose of Design of Experiments</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Experimentation Strategies</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Key DOE Terminology</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Introduction to Basic Graphical and Statistical Analysis of Data</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Interactions</w:t>
      </w:r>
    </w:p>
    <w:p w:rsidR="00302986" w:rsidRPr="00500843" w:rsidRDefault="00302986" w:rsidP="00302986">
      <w:pPr>
        <w:numPr>
          <w:ilvl w:val="0"/>
          <w:numId w:val="7"/>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Introduction to DOE Software and Hands-On Experimentation</w:t>
      </w:r>
    </w:p>
    <w:p w:rsidR="00302986" w:rsidRPr="00500843" w:rsidRDefault="00302986" w:rsidP="00302986">
      <w:pPr>
        <w:ind w:left="720"/>
        <w:rPr>
          <w:rFonts w:ascii="Times New Roman" w:hAnsi="Times New Roman" w:cs="Times New Roman"/>
          <w:color w:val="222A35" w:themeColor="text2" w:themeShade="80"/>
          <w:sz w:val="22"/>
          <w:szCs w:val="22"/>
          <w:vertAlign w:val="superscript"/>
        </w:rPr>
      </w:pPr>
      <w:r w:rsidRPr="00500843">
        <w:rPr>
          <w:rFonts w:ascii="Times New Roman" w:hAnsi="Times New Roman" w:cs="Times New Roman"/>
          <w:color w:val="222A35" w:themeColor="text2" w:themeShade="80"/>
          <w:sz w:val="22"/>
          <w:szCs w:val="22"/>
        </w:rPr>
        <w:t xml:space="preserve">Using the </w:t>
      </w:r>
      <w:proofErr w:type="spellStart"/>
      <w:r w:rsidRPr="00500843">
        <w:rPr>
          <w:rFonts w:ascii="Times New Roman" w:hAnsi="Times New Roman" w:cs="Times New Roman"/>
          <w:color w:val="222A35" w:themeColor="text2" w:themeShade="80"/>
          <w:sz w:val="22"/>
          <w:szCs w:val="22"/>
        </w:rPr>
        <w:t>Statapult</w:t>
      </w:r>
      <w:proofErr w:type="spellEnd"/>
      <w:r w:rsidRPr="00500843">
        <w:rPr>
          <w:rFonts w:ascii="Times New Roman" w:hAnsi="Times New Roman" w:cs="Times New Roman"/>
          <w:color w:val="222A35" w:themeColor="text2" w:themeShade="80"/>
          <w:sz w:val="22"/>
          <w:szCs w:val="22"/>
          <w:vertAlign w:val="superscript"/>
        </w:rPr>
        <w:t>®</w:t>
      </w:r>
    </w:p>
    <w:p w:rsidR="00302986" w:rsidRPr="00500843" w:rsidRDefault="00302986" w:rsidP="00302986">
      <w:pPr>
        <w:rPr>
          <w:rFonts w:ascii="Times New Roman" w:hAnsi="Times New Roman" w:cs="Times New Roman"/>
          <w:color w:val="222A35" w:themeColor="text2" w:themeShade="80"/>
          <w:sz w:val="22"/>
          <w:szCs w:val="22"/>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Design and Analysis of Experiments</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Importance of Planning</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DOE 12 Step Process</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Review and Practice: Graphical and Statistical Analysis of Data</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Building Design Matrices</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Introduction to Fractional Factorial Designs</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DOE Examples</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 xml:space="preserve">Hands-on Practice with Modeling and Optimization using the </w:t>
      </w:r>
      <w:proofErr w:type="spellStart"/>
      <w:r w:rsidRPr="00500843">
        <w:rPr>
          <w:rFonts w:ascii="Times New Roman" w:hAnsi="Times New Roman" w:cs="Times New Roman"/>
          <w:color w:val="222A35" w:themeColor="text2" w:themeShade="80"/>
          <w:sz w:val="22"/>
          <w:szCs w:val="22"/>
        </w:rPr>
        <w:t>Statapult</w:t>
      </w:r>
      <w:proofErr w:type="spellEnd"/>
      <w:r w:rsidRPr="00500843">
        <w:rPr>
          <w:rFonts w:ascii="Times New Roman" w:hAnsi="Times New Roman" w:cs="Times New Roman"/>
          <w:color w:val="222A35" w:themeColor="text2" w:themeShade="80"/>
          <w:sz w:val="22"/>
          <w:szCs w:val="22"/>
          <w:vertAlign w:val="superscript"/>
        </w:rPr>
        <w:t>®</w:t>
      </w:r>
      <w:r w:rsidRPr="00500843">
        <w:rPr>
          <w:rFonts w:ascii="Times New Roman" w:hAnsi="Times New Roman" w:cs="Times New Roman"/>
          <w:color w:val="222A35" w:themeColor="text2" w:themeShade="80"/>
          <w:sz w:val="22"/>
          <w:szCs w:val="22"/>
        </w:rPr>
        <w:t xml:space="preserve"> </w:t>
      </w:r>
    </w:p>
    <w:p w:rsidR="00302986" w:rsidRPr="00500843" w:rsidRDefault="00302986" w:rsidP="00302986">
      <w:pPr>
        <w:numPr>
          <w:ilvl w:val="0"/>
          <w:numId w:val="10"/>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Reasons why Experiments May Fail to Confirm and How to Recover</w:t>
      </w:r>
    </w:p>
    <w:p w:rsidR="00302986" w:rsidRPr="00500843" w:rsidRDefault="00302986" w:rsidP="00302986">
      <w:pPr>
        <w:rPr>
          <w:rFonts w:ascii="Times New Roman" w:hAnsi="Times New Roman" w:cs="Times New Roman"/>
          <w:color w:val="222A35" w:themeColor="text2" w:themeShade="80"/>
          <w:sz w:val="22"/>
          <w:szCs w:val="22"/>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Rules of Thumb for DOE</w:t>
      </w:r>
    </w:p>
    <w:p w:rsidR="00302986" w:rsidRPr="00500843" w:rsidRDefault="00302986" w:rsidP="00302986">
      <w:pPr>
        <w:numPr>
          <w:ilvl w:val="0"/>
          <w:numId w:val="9"/>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Sample Size Guidelines for DOE</w:t>
      </w:r>
    </w:p>
    <w:p w:rsidR="00302986" w:rsidRPr="00500843" w:rsidRDefault="00302986" w:rsidP="00302986">
      <w:pPr>
        <w:numPr>
          <w:ilvl w:val="0"/>
          <w:numId w:val="9"/>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Selecting the Best Design</w:t>
      </w:r>
    </w:p>
    <w:p w:rsidR="00302986" w:rsidRPr="00500843" w:rsidRDefault="00302986" w:rsidP="00302986">
      <w:pPr>
        <w:numPr>
          <w:ilvl w:val="0"/>
          <w:numId w:val="9"/>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Determining Statistical Significance</w:t>
      </w:r>
    </w:p>
    <w:p w:rsidR="00302986" w:rsidRPr="00500843" w:rsidRDefault="00302986" w:rsidP="00302986">
      <w:pPr>
        <w:numPr>
          <w:ilvl w:val="0"/>
          <w:numId w:val="9"/>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Interpreting R-square, Adjusted R-square, Tolerance and p-Values</w:t>
      </w: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5C783D">
      <w:pPr>
        <w:rPr>
          <w:color w:val="222A35" w:themeColor="text2" w:themeShade="80"/>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Two</w:t>
      </w:r>
      <w:r w:rsidR="00500843">
        <w:rPr>
          <w:rFonts w:ascii="Times New Roman" w:hAnsi="Times New Roman" w:cs="Times New Roman"/>
          <w:color w:val="222A35" w:themeColor="text2" w:themeShade="80"/>
          <w:sz w:val="24"/>
          <w:szCs w:val="24"/>
        </w:rPr>
        <w:t>-</w:t>
      </w:r>
      <w:r w:rsidRPr="00500843">
        <w:rPr>
          <w:rFonts w:ascii="Times New Roman" w:hAnsi="Times New Roman" w:cs="Times New Roman"/>
          <w:color w:val="222A35" w:themeColor="text2" w:themeShade="80"/>
          <w:sz w:val="24"/>
          <w:szCs w:val="24"/>
        </w:rPr>
        <w:t>Level Design Summary</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Use and Application of Two Level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Summary of Two Level Design Options</w:t>
      </w:r>
    </w:p>
    <w:p w:rsidR="00302986" w:rsidRPr="00500843" w:rsidRDefault="00302986" w:rsidP="00302986">
      <w:pPr>
        <w:numPr>
          <w:ilvl w:val="1"/>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Full Factorial Designs</w:t>
      </w:r>
    </w:p>
    <w:p w:rsidR="00302986" w:rsidRPr="00500843" w:rsidRDefault="00302986" w:rsidP="00302986">
      <w:pPr>
        <w:numPr>
          <w:ilvl w:val="1"/>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Fractional Factorial Designs</w:t>
      </w:r>
    </w:p>
    <w:p w:rsidR="00302986" w:rsidRPr="00500843" w:rsidRDefault="00302986" w:rsidP="00302986">
      <w:pPr>
        <w:numPr>
          <w:ilvl w:val="1"/>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Screening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Awareness of Situations where Standard Designs will Not Apply and KISS Approaches for Dealing with these Situations</w:t>
      </w:r>
    </w:p>
    <w:p w:rsidR="00302986" w:rsidRPr="00500843" w:rsidRDefault="00302986" w:rsidP="00302986">
      <w:pPr>
        <w:numPr>
          <w:ilvl w:val="1"/>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Nested Designs</w:t>
      </w:r>
    </w:p>
    <w:p w:rsidR="00302986" w:rsidRPr="00500843" w:rsidRDefault="00302986" w:rsidP="00302986">
      <w:pPr>
        <w:numPr>
          <w:ilvl w:val="1"/>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Mixture Designs</w:t>
      </w:r>
    </w:p>
    <w:p w:rsidR="00302986" w:rsidRPr="00500843" w:rsidRDefault="00302986" w:rsidP="00302986">
      <w:pPr>
        <w:rPr>
          <w:rFonts w:ascii="Times New Roman" w:hAnsi="Times New Roman" w:cs="Times New Roman"/>
          <w:color w:val="222A35" w:themeColor="text2" w:themeShade="80"/>
          <w:sz w:val="22"/>
          <w:szCs w:val="22"/>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Three</w:t>
      </w:r>
      <w:r w:rsidR="00500843">
        <w:rPr>
          <w:rFonts w:ascii="Times New Roman" w:hAnsi="Times New Roman" w:cs="Times New Roman"/>
          <w:color w:val="222A35" w:themeColor="text2" w:themeShade="80"/>
          <w:sz w:val="24"/>
          <w:szCs w:val="24"/>
        </w:rPr>
        <w:t>-</w:t>
      </w:r>
      <w:r w:rsidRPr="00500843">
        <w:rPr>
          <w:rFonts w:ascii="Times New Roman" w:hAnsi="Times New Roman" w:cs="Times New Roman"/>
          <w:color w:val="222A35" w:themeColor="text2" w:themeShade="80"/>
          <w:sz w:val="24"/>
          <w:szCs w:val="24"/>
        </w:rPr>
        <w:t>Level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Qualitative vs. Quantitative Factors in DOE</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Use and Application of Three Level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Full Factorial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Screening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 xml:space="preserve">Box </w:t>
      </w:r>
      <w:proofErr w:type="spellStart"/>
      <w:r w:rsidRPr="00500843">
        <w:rPr>
          <w:rFonts w:ascii="Times New Roman" w:hAnsi="Times New Roman" w:cs="Times New Roman"/>
          <w:color w:val="222A35" w:themeColor="text2" w:themeShade="80"/>
          <w:sz w:val="22"/>
          <w:szCs w:val="22"/>
        </w:rPr>
        <w:t>Behnken</w:t>
      </w:r>
      <w:proofErr w:type="spellEnd"/>
      <w:r w:rsidRPr="00500843">
        <w:rPr>
          <w:rFonts w:ascii="Times New Roman" w:hAnsi="Times New Roman" w:cs="Times New Roman"/>
          <w:color w:val="222A35" w:themeColor="text2" w:themeShade="80"/>
          <w:sz w:val="22"/>
          <w:szCs w:val="22"/>
        </w:rPr>
        <w:t xml:space="preserve"> and Central Composite Designs</w:t>
      </w:r>
    </w:p>
    <w:p w:rsidR="00302986" w:rsidRPr="00500843" w:rsidRDefault="00302986" w:rsidP="00302986">
      <w:pPr>
        <w:numPr>
          <w:ilvl w:val="0"/>
          <w:numId w:val="11"/>
        </w:numPr>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Setting Up, Conducting,</w:t>
      </w:r>
      <w:r w:rsidRPr="00500843">
        <w:rPr>
          <w:rFonts w:ascii="Times New Roman" w:hAnsi="Times New Roman" w:cs="Times New Roman"/>
          <w:color w:val="222A35" w:themeColor="text2" w:themeShade="80"/>
          <w:sz w:val="24"/>
          <w:szCs w:val="24"/>
        </w:rPr>
        <w:t xml:space="preserve"> </w:t>
      </w:r>
      <w:r w:rsidRPr="00500843">
        <w:rPr>
          <w:rFonts w:ascii="Times New Roman" w:hAnsi="Times New Roman" w:cs="Times New Roman"/>
          <w:color w:val="222A35" w:themeColor="text2" w:themeShade="80"/>
          <w:sz w:val="22"/>
          <w:szCs w:val="22"/>
        </w:rPr>
        <w:t xml:space="preserve">Analyzing, and Confirming a Quadratic Model Using the </w:t>
      </w:r>
      <w:proofErr w:type="spellStart"/>
      <w:r w:rsidRPr="00500843">
        <w:rPr>
          <w:rFonts w:ascii="Times New Roman" w:hAnsi="Times New Roman" w:cs="Times New Roman"/>
          <w:color w:val="222A35" w:themeColor="text2" w:themeShade="80"/>
          <w:sz w:val="22"/>
          <w:szCs w:val="22"/>
        </w:rPr>
        <w:t>Statapult</w:t>
      </w:r>
      <w:proofErr w:type="spellEnd"/>
      <w:r w:rsidRPr="00500843">
        <w:rPr>
          <w:rFonts w:ascii="Times New Roman" w:hAnsi="Times New Roman" w:cs="Times New Roman"/>
          <w:color w:val="222A35" w:themeColor="text2" w:themeShade="80"/>
          <w:sz w:val="22"/>
          <w:szCs w:val="22"/>
          <w:vertAlign w:val="superscript"/>
        </w:rPr>
        <w:t>®</w:t>
      </w:r>
    </w:p>
    <w:p w:rsidR="00302986" w:rsidRPr="00500843" w:rsidRDefault="00302986" w:rsidP="00302986">
      <w:pPr>
        <w:rPr>
          <w:rFonts w:ascii="Times New Roman" w:hAnsi="Times New Roman" w:cs="Times New Roman"/>
          <w:color w:val="222A35" w:themeColor="text2" w:themeShade="80"/>
          <w:sz w:val="22"/>
          <w:szCs w:val="22"/>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Variance Reduction Methods and Robust Design</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Strategies for Variance Reduction</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Robust Design and DOE</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Setting up and analyzing Robust Design experiments</w:t>
      </w:r>
    </w:p>
    <w:p w:rsidR="00302986" w:rsidRPr="00500843" w:rsidRDefault="00302986" w:rsidP="00302986">
      <w:pPr>
        <w:numPr>
          <w:ilvl w:val="0"/>
          <w:numId w:val="3"/>
        </w:numPr>
        <w:tabs>
          <w:tab w:val="clear" w:pos="360"/>
          <w:tab w:val="num" w:pos="720"/>
        </w:tabs>
        <w:ind w:left="720"/>
        <w:rPr>
          <w:rFonts w:ascii="Times New Roman" w:hAnsi="Times New Roman" w:cs="Times New Roman"/>
          <w:color w:val="222A35" w:themeColor="text2" w:themeShade="80"/>
          <w:sz w:val="22"/>
          <w:szCs w:val="22"/>
        </w:rPr>
      </w:pPr>
      <w:r w:rsidRPr="00500843">
        <w:rPr>
          <w:rFonts w:ascii="Times New Roman" w:hAnsi="Times New Roman" w:cs="Times New Roman"/>
          <w:color w:val="222A35" w:themeColor="text2" w:themeShade="80"/>
          <w:sz w:val="22"/>
          <w:szCs w:val="22"/>
        </w:rPr>
        <w:t>Reducing Transmitted Variation by Taking Advantage of Interactions and Non-</w:t>
      </w:r>
      <w:proofErr w:type="spellStart"/>
      <w:r w:rsidRPr="00500843">
        <w:rPr>
          <w:rFonts w:ascii="Times New Roman" w:hAnsi="Times New Roman" w:cs="Times New Roman"/>
          <w:color w:val="222A35" w:themeColor="text2" w:themeShade="80"/>
          <w:sz w:val="22"/>
          <w:szCs w:val="22"/>
        </w:rPr>
        <w:t>Linearities</w:t>
      </w:r>
      <w:proofErr w:type="spellEnd"/>
    </w:p>
    <w:p w:rsidR="00302986" w:rsidRPr="00500843" w:rsidRDefault="00302986" w:rsidP="00302986">
      <w:pPr>
        <w:rPr>
          <w:rFonts w:ascii="Times New Roman" w:hAnsi="Times New Roman" w:cs="Times New Roman"/>
          <w:color w:val="222A35" w:themeColor="text2" w:themeShade="80"/>
          <w:sz w:val="22"/>
          <w:szCs w:val="22"/>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References, Glossary of Terms and Course Evaluation Forms</w:t>
      </w:r>
    </w:p>
    <w:p w:rsidR="00302986" w:rsidRPr="00500843" w:rsidRDefault="00302986" w:rsidP="00302986">
      <w:pPr>
        <w:rPr>
          <w:rFonts w:ascii="Times New Roman" w:hAnsi="Times New Roman" w:cs="Times New Roman"/>
          <w:color w:val="222A35" w:themeColor="text2" w:themeShade="80"/>
          <w:sz w:val="24"/>
          <w:szCs w:val="24"/>
        </w:rPr>
      </w:pPr>
    </w:p>
    <w:p w:rsidR="00302986" w:rsidRPr="00500843" w:rsidRDefault="00302986" w:rsidP="00500843">
      <w:pPr>
        <w:keepNext/>
        <w:jc w:val="center"/>
        <w:outlineLvl w:val="0"/>
        <w:rPr>
          <w:rFonts w:ascii="Times New Roman" w:hAnsi="Times New Roman" w:cs="Times New Roman"/>
          <w:b/>
          <w:bCs/>
          <w:color w:val="222A35" w:themeColor="text2" w:themeShade="80"/>
          <w:sz w:val="24"/>
          <w:szCs w:val="24"/>
        </w:rPr>
      </w:pPr>
      <w:r w:rsidRPr="00500843">
        <w:rPr>
          <w:rFonts w:ascii="Times New Roman" w:hAnsi="Times New Roman" w:cs="Times New Roman"/>
          <w:b/>
          <w:bCs/>
          <w:color w:val="222A35" w:themeColor="text2" w:themeShade="80"/>
          <w:sz w:val="24"/>
          <w:szCs w:val="24"/>
        </w:rPr>
        <w:t>Course Materials</w:t>
      </w:r>
    </w:p>
    <w:p w:rsidR="00302986" w:rsidRPr="00500843" w:rsidRDefault="00302986" w:rsidP="00302986">
      <w:pPr>
        <w:rPr>
          <w:rFonts w:ascii="Times New Roman" w:hAnsi="Times New Roman" w:cs="Times New Roman"/>
          <w:color w:val="222A35" w:themeColor="text2" w:themeShade="80"/>
          <w:sz w:val="24"/>
          <w:szCs w:val="24"/>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Participants receive the following materials which are integrated and used throughout the class:</w:t>
      </w:r>
    </w:p>
    <w:p w:rsidR="00302986" w:rsidRPr="00500843" w:rsidRDefault="00302986" w:rsidP="00302986">
      <w:pPr>
        <w:rPr>
          <w:rFonts w:ascii="Times New Roman" w:hAnsi="Times New Roman" w:cs="Times New Roman"/>
          <w:color w:val="222A35" w:themeColor="text2" w:themeShade="80"/>
          <w:sz w:val="24"/>
          <w:szCs w:val="24"/>
        </w:rPr>
      </w:pPr>
    </w:p>
    <w:p w:rsidR="00302986" w:rsidRPr="004C6106" w:rsidRDefault="00302986" w:rsidP="004C6106">
      <w:pPr>
        <w:pStyle w:val="ListParagraph"/>
        <w:numPr>
          <w:ilvl w:val="0"/>
          <w:numId w:val="14"/>
        </w:numPr>
        <w:rPr>
          <w:rFonts w:ascii="Times New Roman" w:hAnsi="Times New Roman" w:cs="Times New Roman"/>
          <w:color w:val="222A35" w:themeColor="text2" w:themeShade="80"/>
          <w:sz w:val="24"/>
          <w:szCs w:val="24"/>
        </w:rPr>
      </w:pPr>
      <w:r w:rsidRPr="004C6106">
        <w:rPr>
          <w:rFonts w:ascii="Times New Roman" w:hAnsi="Times New Roman" w:cs="Times New Roman"/>
          <w:color w:val="222A35" w:themeColor="text2" w:themeShade="80"/>
          <w:sz w:val="24"/>
          <w:szCs w:val="24"/>
        </w:rPr>
        <w:t>Participant Guide</w:t>
      </w: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Textbooks:</w:t>
      </w:r>
    </w:p>
    <w:p w:rsidR="00302986" w:rsidRPr="00500843" w:rsidRDefault="00302986" w:rsidP="00302986">
      <w:pPr>
        <w:numPr>
          <w:ilvl w:val="0"/>
          <w:numId w:val="12"/>
        </w:numPr>
        <w:tabs>
          <w:tab w:val="clear" w:pos="360"/>
          <w:tab w:val="num" w:pos="1080"/>
        </w:tabs>
        <w:ind w:left="1080"/>
        <w:rPr>
          <w:rFonts w:ascii="Times New Roman" w:hAnsi="Times New Roman" w:cs="Times New Roman"/>
          <w:i/>
          <w:color w:val="222A35" w:themeColor="text2" w:themeShade="80"/>
          <w:sz w:val="24"/>
          <w:szCs w:val="24"/>
        </w:rPr>
      </w:pPr>
      <w:r w:rsidRPr="00500843">
        <w:rPr>
          <w:rFonts w:ascii="Times New Roman" w:hAnsi="Times New Roman" w:cs="Times New Roman"/>
          <w:i/>
          <w:color w:val="222A35" w:themeColor="text2" w:themeShade="80"/>
          <w:sz w:val="24"/>
          <w:szCs w:val="24"/>
        </w:rPr>
        <w:t>D</w:t>
      </w:r>
      <w:r w:rsidR="00500843">
        <w:rPr>
          <w:rFonts w:ascii="Times New Roman" w:hAnsi="Times New Roman" w:cs="Times New Roman"/>
          <w:i/>
          <w:color w:val="222A35" w:themeColor="text2" w:themeShade="80"/>
          <w:sz w:val="24"/>
          <w:szCs w:val="24"/>
        </w:rPr>
        <w:t xml:space="preserve">esign </w:t>
      </w:r>
      <w:r w:rsidRPr="00500843">
        <w:rPr>
          <w:rFonts w:ascii="Times New Roman" w:hAnsi="Times New Roman" w:cs="Times New Roman"/>
          <w:i/>
          <w:color w:val="222A35" w:themeColor="text2" w:themeShade="80"/>
          <w:sz w:val="24"/>
          <w:szCs w:val="24"/>
        </w:rPr>
        <w:t>F</w:t>
      </w:r>
      <w:r w:rsidR="00500843">
        <w:rPr>
          <w:rFonts w:ascii="Times New Roman" w:hAnsi="Times New Roman" w:cs="Times New Roman"/>
          <w:i/>
          <w:color w:val="222A35" w:themeColor="text2" w:themeShade="80"/>
          <w:sz w:val="24"/>
          <w:szCs w:val="24"/>
        </w:rPr>
        <w:t xml:space="preserve">or </w:t>
      </w:r>
      <w:r w:rsidRPr="00500843">
        <w:rPr>
          <w:rFonts w:ascii="Times New Roman" w:hAnsi="Times New Roman" w:cs="Times New Roman"/>
          <w:i/>
          <w:color w:val="222A35" w:themeColor="text2" w:themeShade="80"/>
          <w:sz w:val="24"/>
          <w:szCs w:val="24"/>
        </w:rPr>
        <w:t>S</w:t>
      </w:r>
      <w:r w:rsidR="00500843">
        <w:rPr>
          <w:rFonts w:ascii="Times New Roman" w:hAnsi="Times New Roman" w:cs="Times New Roman"/>
          <w:i/>
          <w:color w:val="222A35" w:themeColor="text2" w:themeShade="80"/>
          <w:sz w:val="24"/>
          <w:szCs w:val="24"/>
        </w:rPr>
        <w:t xml:space="preserve">is </w:t>
      </w:r>
      <w:r w:rsidRPr="00500843">
        <w:rPr>
          <w:rFonts w:ascii="Times New Roman" w:hAnsi="Times New Roman" w:cs="Times New Roman"/>
          <w:i/>
          <w:color w:val="222A35" w:themeColor="text2" w:themeShade="80"/>
          <w:sz w:val="24"/>
          <w:szCs w:val="24"/>
        </w:rPr>
        <w:t>S</w:t>
      </w:r>
      <w:r w:rsidR="00500843">
        <w:rPr>
          <w:rFonts w:ascii="Times New Roman" w:hAnsi="Times New Roman" w:cs="Times New Roman"/>
          <w:i/>
          <w:color w:val="222A35" w:themeColor="text2" w:themeShade="80"/>
          <w:sz w:val="24"/>
          <w:szCs w:val="24"/>
        </w:rPr>
        <w:t xml:space="preserve">igma: </w:t>
      </w:r>
      <w:r w:rsidRPr="00500843">
        <w:rPr>
          <w:rFonts w:ascii="Times New Roman" w:hAnsi="Times New Roman" w:cs="Times New Roman"/>
          <w:i/>
          <w:color w:val="222A35" w:themeColor="text2" w:themeShade="80"/>
          <w:sz w:val="24"/>
          <w:szCs w:val="24"/>
        </w:rPr>
        <w:t xml:space="preserve">The Tools Guide for Practitioners </w:t>
      </w:r>
      <w:bookmarkStart w:id="0" w:name="_GoBack"/>
      <w:bookmarkEnd w:id="0"/>
    </w:p>
    <w:p w:rsidR="00302986" w:rsidRPr="00500843" w:rsidRDefault="00302986" w:rsidP="00302986">
      <w:pPr>
        <w:numPr>
          <w:ilvl w:val="0"/>
          <w:numId w:val="12"/>
        </w:numPr>
        <w:tabs>
          <w:tab w:val="clear" w:pos="360"/>
          <w:tab w:val="num" w:pos="1080"/>
        </w:tabs>
        <w:ind w:left="1080"/>
        <w:rPr>
          <w:rFonts w:ascii="Times New Roman" w:hAnsi="Times New Roman" w:cs="Times New Roman"/>
          <w:i/>
          <w:color w:val="222A35" w:themeColor="text2" w:themeShade="80"/>
          <w:sz w:val="24"/>
          <w:szCs w:val="24"/>
        </w:rPr>
      </w:pPr>
      <w:r w:rsidRPr="00500843">
        <w:rPr>
          <w:rFonts w:ascii="Times New Roman" w:hAnsi="Times New Roman" w:cs="Times New Roman"/>
          <w:i/>
          <w:color w:val="222A35" w:themeColor="text2" w:themeShade="80"/>
          <w:sz w:val="24"/>
          <w:szCs w:val="24"/>
        </w:rPr>
        <w:t xml:space="preserve">Basic Statistics: Tools for Continuous Improvement </w:t>
      </w:r>
    </w:p>
    <w:p w:rsidR="00302986" w:rsidRPr="00500843" w:rsidRDefault="00302986" w:rsidP="00302986">
      <w:pPr>
        <w:numPr>
          <w:ilvl w:val="0"/>
          <w:numId w:val="12"/>
        </w:numPr>
        <w:tabs>
          <w:tab w:val="clear" w:pos="360"/>
          <w:tab w:val="num" w:pos="1080"/>
        </w:tabs>
        <w:ind w:left="1080"/>
        <w:rPr>
          <w:rFonts w:ascii="Times New Roman" w:hAnsi="Times New Roman" w:cs="Times New Roman"/>
          <w:i/>
          <w:color w:val="222A35" w:themeColor="text2" w:themeShade="80"/>
          <w:sz w:val="24"/>
          <w:szCs w:val="24"/>
        </w:rPr>
      </w:pPr>
      <w:r w:rsidRPr="00500843">
        <w:rPr>
          <w:rFonts w:ascii="Times New Roman" w:hAnsi="Times New Roman" w:cs="Times New Roman"/>
          <w:i/>
          <w:color w:val="222A35" w:themeColor="text2" w:themeShade="80"/>
          <w:sz w:val="24"/>
          <w:szCs w:val="24"/>
        </w:rPr>
        <w:t xml:space="preserve">Understanding Industrial Designed Experiments </w:t>
      </w: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Software:</w:t>
      </w:r>
    </w:p>
    <w:p w:rsidR="00302986" w:rsidRPr="00500843" w:rsidRDefault="00302986" w:rsidP="00302986">
      <w:pPr>
        <w:numPr>
          <w:ilvl w:val="0"/>
          <w:numId w:val="13"/>
        </w:numPr>
        <w:tabs>
          <w:tab w:val="clear" w:pos="360"/>
          <w:tab w:val="num" w:pos="1080"/>
        </w:tabs>
        <w:ind w:left="1080"/>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 xml:space="preserve">SPC XL </w:t>
      </w:r>
    </w:p>
    <w:p w:rsidR="00302986" w:rsidRPr="00500843" w:rsidRDefault="00302986" w:rsidP="00302986">
      <w:pPr>
        <w:numPr>
          <w:ilvl w:val="0"/>
          <w:numId w:val="13"/>
        </w:numPr>
        <w:tabs>
          <w:tab w:val="clear" w:pos="360"/>
          <w:tab w:val="num" w:pos="1080"/>
        </w:tabs>
        <w:ind w:left="1080"/>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 xml:space="preserve">DOE Pro </w:t>
      </w:r>
    </w:p>
    <w:p w:rsidR="00302986" w:rsidRPr="00500843" w:rsidRDefault="00302986" w:rsidP="00302986">
      <w:pPr>
        <w:rPr>
          <w:rFonts w:ascii="Times New Roman" w:hAnsi="Times New Roman" w:cs="Times New Roman"/>
          <w:color w:val="222A35" w:themeColor="text2" w:themeShade="80"/>
          <w:sz w:val="24"/>
          <w:szCs w:val="24"/>
        </w:rPr>
      </w:pPr>
    </w:p>
    <w:p w:rsidR="00302986" w:rsidRPr="00500843" w:rsidRDefault="00302986" w:rsidP="00500843">
      <w:pPr>
        <w:jc w:val="center"/>
        <w:rPr>
          <w:rFonts w:ascii="Times New Roman" w:hAnsi="Times New Roman" w:cs="Times New Roman"/>
          <w:b/>
          <w:bCs/>
          <w:color w:val="222A35" w:themeColor="text2" w:themeShade="80"/>
          <w:sz w:val="24"/>
          <w:szCs w:val="24"/>
        </w:rPr>
      </w:pPr>
      <w:r w:rsidRPr="00500843">
        <w:rPr>
          <w:rFonts w:ascii="Times New Roman" w:hAnsi="Times New Roman" w:cs="Times New Roman"/>
          <w:b/>
          <w:bCs/>
          <w:color w:val="222A35" w:themeColor="text2" w:themeShade="80"/>
          <w:sz w:val="24"/>
          <w:szCs w:val="24"/>
        </w:rPr>
        <w:lastRenderedPageBreak/>
        <w:t>Prerequisites</w:t>
      </w:r>
    </w:p>
    <w:p w:rsidR="00302986" w:rsidRPr="00500843" w:rsidRDefault="00302986" w:rsidP="00302986">
      <w:pPr>
        <w:rPr>
          <w:rFonts w:ascii="Times New Roman" w:hAnsi="Times New Roman" w:cs="Times New Roman"/>
          <w:color w:val="222A35" w:themeColor="text2" w:themeShade="80"/>
          <w:sz w:val="24"/>
          <w:szCs w:val="24"/>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This first course in DFSS is designed to lay the foundations for the study of DFSS.  Participants are expected to continue their study of Design for Six Sigma by taking the follow-on course, DFSS (1-week course), with management sponsorship and a project or study selected prior to, or at some point during, this training.  Projects are typically begun at some point during the training and are completed within a reasonable timeframe, not usually longer than 6-8 months following completion of the training.</w:t>
      </w:r>
    </w:p>
    <w:p w:rsidR="00302986" w:rsidRPr="00500843" w:rsidRDefault="00302986" w:rsidP="00302986">
      <w:pPr>
        <w:rPr>
          <w:rFonts w:ascii="Times New Roman" w:hAnsi="Times New Roman" w:cs="Times New Roman"/>
          <w:color w:val="222A35" w:themeColor="text2" w:themeShade="80"/>
          <w:sz w:val="24"/>
          <w:szCs w:val="24"/>
        </w:rPr>
      </w:pPr>
    </w:p>
    <w:p w:rsidR="00302986" w:rsidRPr="00500843" w:rsidRDefault="00302986" w:rsidP="00302986">
      <w:pPr>
        <w:rPr>
          <w:rFonts w:ascii="Times New Roman" w:hAnsi="Times New Roman" w:cs="Times New Roman"/>
          <w:color w:val="222A35" w:themeColor="text2" w:themeShade="80"/>
          <w:sz w:val="24"/>
          <w:szCs w:val="24"/>
        </w:rPr>
      </w:pPr>
      <w:r w:rsidRPr="00500843">
        <w:rPr>
          <w:rFonts w:ascii="Times New Roman" w:hAnsi="Times New Roman" w:cs="Times New Roman"/>
          <w:color w:val="222A35" w:themeColor="text2" w:themeShade="80"/>
          <w:sz w:val="24"/>
          <w:szCs w:val="24"/>
        </w:rPr>
        <w:t>Participants should bring a laptop computer to class with Excel 2000 (or later) so that they can install the supplied software and practice using it during many in-class exercises.  A basic working knowledge of Windows and Excel is helpful.  Basic math and algebra skills are also desirable.</w:t>
      </w:r>
    </w:p>
    <w:p w:rsidR="00302986" w:rsidRPr="00500843" w:rsidRDefault="00302986" w:rsidP="005C783D">
      <w:pPr>
        <w:rPr>
          <w:color w:val="222A35" w:themeColor="text2" w:themeShade="80"/>
        </w:rPr>
      </w:pPr>
    </w:p>
    <w:sectPr w:rsidR="00302986" w:rsidRPr="00500843" w:rsidSect="005C783D">
      <w:headerReference w:type="default" r:id="rId7"/>
      <w:footerReference w:type="default" r:id="rId8"/>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1C" w:rsidRDefault="004E6F1C">
      <w:r>
        <w:separator/>
      </w:r>
    </w:p>
  </w:endnote>
  <w:endnote w:type="continuationSeparator" w:id="0">
    <w:p w:rsidR="004E6F1C" w:rsidRDefault="004E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EA4B82"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1C" w:rsidRDefault="004E6F1C">
      <w:r>
        <w:separator/>
      </w:r>
    </w:p>
  </w:footnote>
  <w:footnote w:type="continuationSeparator" w:id="0">
    <w:p w:rsidR="004E6F1C" w:rsidRDefault="004E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500843" w:rsidP="005C783D">
    <w:pPr>
      <w:pStyle w:val="Header"/>
      <w:jc w:val="center"/>
    </w:pPr>
    <w:r>
      <w:rPr>
        <w:noProof/>
      </w:rPr>
      <w:drawing>
        <wp:inline distT="0" distB="0" distL="0" distR="0">
          <wp:extent cx="5105400" cy="104080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JPG"/>
                  <pic:cNvPicPr/>
                </pic:nvPicPr>
                <pic:blipFill>
                  <a:blip r:embed="rId1">
                    <a:extLst>
                      <a:ext uri="{28A0092B-C50C-407E-A947-70E740481C1C}">
                        <a14:useLocalDpi xmlns:a14="http://schemas.microsoft.com/office/drawing/2010/main" val="0"/>
                      </a:ext>
                    </a:extLst>
                  </a:blip>
                  <a:stretch>
                    <a:fillRect/>
                  </a:stretch>
                </pic:blipFill>
                <pic:spPr>
                  <a:xfrm>
                    <a:off x="0" y="0"/>
                    <a:ext cx="5135166" cy="1046872"/>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1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CB000B"/>
    <w:multiLevelType w:val="singleLevel"/>
    <w:tmpl w:val="D67CFA44"/>
    <w:lvl w:ilvl="0">
      <w:numFmt w:val="bullet"/>
      <w:lvlText w:val="-"/>
      <w:lvlJc w:val="left"/>
      <w:pPr>
        <w:tabs>
          <w:tab w:val="num" w:pos="1080"/>
        </w:tabs>
        <w:ind w:left="1080" w:hanging="360"/>
      </w:pPr>
      <w:rPr>
        <w:rFonts w:hint="default"/>
      </w:rPr>
    </w:lvl>
  </w:abstractNum>
  <w:abstractNum w:abstractNumId="2" w15:restartNumberingAfterBreak="0">
    <w:nsid w:val="18F11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BC0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5F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02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372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284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235FC7"/>
    <w:multiLevelType w:val="hybridMultilevel"/>
    <w:tmpl w:val="3F82D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64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6E479D"/>
    <w:multiLevelType w:val="hybridMultilevel"/>
    <w:tmpl w:val="5002D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04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666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577003"/>
    <w:multiLevelType w:val="hybridMultilevel"/>
    <w:tmpl w:val="E000F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0"/>
  </w:num>
  <w:num w:numId="6">
    <w:abstractNumId w:val="8"/>
  </w:num>
  <w:num w:numId="7">
    <w:abstractNumId w:val="6"/>
  </w:num>
  <w:num w:numId="8">
    <w:abstractNumId w:val="3"/>
  </w:num>
  <w:num w:numId="9">
    <w:abstractNumId w:val="2"/>
  </w:num>
  <w:num w:numId="10">
    <w:abstractNumId w:val="12"/>
  </w:num>
  <w:num w:numId="11">
    <w:abstractNumId w:val="13"/>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986"/>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06"/>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6F1C"/>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7FE"/>
    <w:rsid w:val="004F7AD2"/>
    <w:rsid w:val="005006F1"/>
    <w:rsid w:val="00500837"/>
    <w:rsid w:val="00500843"/>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769"/>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6DC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03"/>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3731"/>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1D1C"/>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B82"/>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2919F4-99EC-404D-9892-11981D72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C6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5</cp:revision>
  <cp:lastPrinted>2011-11-23T21:13:00Z</cp:lastPrinted>
  <dcterms:created xsi:type="dcterms:W3CDTF">2016-02-08T23:29:00Z</dcterms:created>
  <dcterms:modified xsi:type="dcterms:W3CDTF">2017-02-28T21:32:00Z</dcterms:modified>
</cp:coreProperties>
</file>